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781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41"/>
        <w:gridCol w:w="3570"/>
        <w:gridCol w:w="425"/>
        <w:gridCol w:w="1418"/>
        <w:gridCol w:w="425"/>
        <w:gridCol w:w="3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9"/>
        </w:trPr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0" w:name="sub_2001"/>
            <w:r>
              <w:rPr>
                <w:rFonts w:ascii="Times New Roman" w:hAnsi="Times New Roman" w:cs="Times New Roman"/>
              </w:rPr>
              <w:t xml:space="preserve">1</w:t>
            </w:r>
            <w:bookmarkEnd w:id="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Министерство энергетики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  <w:p>
            <w:pPr>
              <w:pStyle w:val="62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1" w:name="sub_2002"/>
            <w:r>
              <w:rPr>
                <w:rFonts w:ascii="Times New Roman" w:hAnsi="Times New Roman" w:cs="Times New Roman"/>
              </w:rPr>
              <w:t xml:space="preserve">2</w:t>
            </w:r>
            <w:bookmarkEnd w:id="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2" w:name="sub_2021"/>
            <w:r>
              <w:rPr>
                <w:rFonts w:ascii="Times New Roman" w:hAnsi="Times New Roman" w:cs="Times New Roman"/>
              </w:rPr>
              <w:t xml:space="preserve">2.1</w:t>
            </w:r>
            <w:bookmarkEnd w:id="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99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245" w:type="dxa"/>
            <w:vAlign w:val="center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Публичное акционерное общество «Газпром»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3" w:name="sub_2022"/>
            <w:r>
              <w:rPr>
                <w:rFonts w:ascii="Times New Roman" w:hAnsi="Times New Roman" w:cs="Times New Roman"/>
              </w:rPr>
              <w:t xml:space="preserve">2.2</w:t>
            </w:r>
            <w:bookmarkEnd w:id="3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99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245" w:type="dxa"/>
            <w:vAlign w:val="center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ПАО «Газпром»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4" w:name="sub_2023"/>
            <w:r>
              <w:rPr>
                <w:rFonts w:ascii="Times New Roman" w:hAnsi="Times New Roman" w:cs="Times New Roman"/>
              </w:rPr>
              <w:t xml:space="preserve">2.3</w:t>
            </w:r>
            <w:bookmarkEnd w:id="4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99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245" w:type="dxa"/>
            <w:vAlign w:val="center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Публичное акционерное общество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5" w:name="sub_2024"/>
            <w:r>
              <w:rPr>
                <w:rFonts w:ascii="Times New Roman" w:hAnsi="Times New Roman" w:cs="Times New Roman"/>
              </w:rPr>
              <w:t xml:space="preserve">2.4</w:t>
            </w:r>
            <w:bookmarkEnd w:id="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99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245" w:type="dxa"/>
            <w:vAlign w:val="center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1255, Санкт-Петербург, 200961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6" w:name="sub_2026"/>
            <w:r>
              <w:rPr>
                <w:rFonts w:ascii="Times New Roman" w:hAnsi="Times New Roman" w:cs="Times New Roman"/>
              </w:rPr>
              <w:t xml:space="preserve">2.</w:t>
            </w:r>
            <w:bookmarkEnd w:id="6"/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99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245" w:type="dxa"/>
            <w:vAlign w:val="center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"mailto:gazprom@gazprom.ru"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Style w:val="631"/>
                <w:rFonts w:ascii="Times New Roman" w:hAnsi="Times New Roman"/>
                <w:color w:val="000000"/>
                <w:szCs w:val="24"/>
              </w:rPr>
              <w:t xml:space="preserve">gazprom@gazprom.ru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adm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tgk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gazprom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7" w:name="sub_2027"/>
            <w:r>
              <w:rPr>
                <w:rFonts w:ascii="Times New Roman" w:hAnsi="Times New Roman" w:cs="Times New Roman"/>
              </w:rPr>
              <w:t xml:space="preserve">2.</w:t>
            </w:r>
            <w:bookmarkEnd w:id="7"/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99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245" w:type="dxa"/>
            <w:vAlign w:val="center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1027700070518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8" w:name="sub_2028"/>
            <w:r>
              <w:rPr>
                <w:rFonts w:ascii="Times New Roman" w:hAnsi="Times New Roman" w:cs="Times New Roman"/>
              </w:rPr>
              <w:t xml:space="preserve">2.</w:t>
            </w:r>
            <w:bookmarkEnd w:id="8"/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99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245" w:type="dxa"/>
            <w:vAlign w:val="center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7736050003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9" w:name="sub_2003"/>
            <w:r>
              <w:rPr>
                <w:rFonts w:ascii="Times New Roman" w:hAnsi="Times New Roman" w:cs="Times New Roman"/>
              </w:rPr>
              <w:t xml:space="preserve">3</w:t>
            </w:r>
            <w:bookmarkEnd w:id="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vMerge w:val="restar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10" w:name="sub_2031"/>
            <w:r>
              <w:rPr>
                <w:rFonts w:ascii="Times New Roman" w:hAnsi="Times New Roman" w:cs="Times New Roman"/>
              </w:rPr>
              <w:t xml:space="preserve">3.1</w:t>
            </w:r>
            <w:bookmarkEnd w:id="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99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24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Харламов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vMerge w:val="continue"/>
            <w:textDirection w:val="lrTb"/>
            <w:noWrap w:val="false"/>
          </w:tcPr>
          <w:p>
            <w:pPr>
              <w:pStyle w:val="6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99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24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vMerge w:val="continue"/>
            <w:textDirection w:val="lrTb"/>
            <w:noWrap w:val="false"/>
          </w:tcPr>
          <w:p>
            <w:pPr>
              <w:pStyle w:val="6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99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Отчество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24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11" w:name="sub_2032"/>
            <w:r>
              <w:rPr>
                <w:rFonts w:ascii="Times New Roman" w:hAnsi="Times New Roman" w:cs="Times New Roman"/>
              </w:rPr>
              <w:t xml:space="preserve">3.2</w:t>
            </w:r>
            <w:bookmarkEnd w:id="1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99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24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Solovyev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adm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gazprom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12" w:name="sub_2033"/>
            <w:r>
              <w:rPr>
                <w:rFonts w:ascii="Times New Roman" w:hAnsi="Times New Roman" w:cs="Times New Roman"/>
              </w:rPr>
              <w:t xml:space="preserve">3.3</w:t>
            </w:r>
            <w:bookmarkEnd w:id="1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99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24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(812) 609-76-77, (861)213-16-22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13" w:name="sub_2034"/>
            <w:r>
              <w:rPr>
                <w:rFonts w:ascii="Times New Roman" w:hAnsi="Times New Roman" w:cs="Times New Roman"/>
              </w:rPr>
              <w:t xml:space="preserve">3.4</w:t>
            </w:r>
            <w:bookmarkEnd w:id="13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995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245" w:type="dxa"/>
            <w:vAlign w:val="top"/>
            <w:textDirection w:val="lrTb"/>
            <w:noWrap w:val="false"/>
          </w:tcPr>
          <w:p>
            <w:pPr>
              <w:pStyle w:val="6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Доверенность ПАО «Газпром» от 01.04.2024 № 01/04/04-208д (зарегистрировано в реестре № 78/98-н/78-2024-3-2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246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.04.2024)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14" w:name="sub_2004"/>
            <w:r>
              <w:rPr>
                <w:rFonts w:ascii="Times New Roman" w:hAnsi="Times New Roman" w:cs="Times New Roman"/>
              </w:rPr>
              <w:t xml:space="preserve">4</w:t>
            </w:r>
            <w:bookmarkEnd w:id="14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Прошу установить публичный сервитут в отношении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 эксплуатации линейного объекта системы газоснабжения федерального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«Газопровод-отвод к ГРС 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Александровского»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п. 3 ст. 3.6 Федерального закона от 25 октября 2001 г. № 137-ФЗ «О введении в действие Земельного кодекса Российской Федерации».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15" w:name="sub_2005"/>
            <w:r>
              <w:rPr>
                <w:rFonts w:ascii="Times New Roman" w:hAnsi="Times New Roman" w:cs="Times New Roman"/>
              </w:rPr>
              <w:t xml:space="preserve">5</w:t>
            </w:r>
            <w:bookmarkEnd w:id="1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Испрашиваемый срок публичного сервитута: 49 (сорок девять) лет.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16" w:name="sub_2006"/>
            <w:r>
              <w:rPr>
                <w:rFonts w:ascii="Times New Roman" w:hAnsi="Times New Roman" w:cs="Times New Roman"/>
              </w:rPr>
              <w:t xml:space="preserve">6</w:t>
            </w:r>
            <w:bookmarkEnd w:id="16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36"/>
              <w:jc w:val="both"/>
            </w:pPr>
            <w:r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</w:t>
            </w:r>
            <w:r>
              <w:t xml:space="preserve">.</w:t>
            </w:r>
            <w:r>
              <w:t xml:space="preserve">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</w:t>
            </w:r>
            <w:r>
              <w:t xml:space="preserve">)</w:t>
            </w:r>
            <w:r/>
          </w:p>
          <w:p>
            <w:pPr>
              <w:pStyle w:val="620"/>
              <w:ind w:firstLine="0"/>
              <w:widowControl/>
            </w:pPr>
            <w:r>
              <w:t xml:space="preserve">______</w:t>
            </w:r>
            <w:r>
              <w:t xml:space="preserve">__</w:t>
            </w:r>
            <w:r>
              <w:rPr>
                <w:i/>
                <w:u w:val="single"/>
              </w:rPr>
              <w:t xml:space="preserve">-</w:t>
            </w:r>
            <w:r>
              <w:t xml:space="preserve">_______</w:t>
            </w:r>
            <w:r/>
          </w:p>
          <w:p>
            <w:pPr>
              <w:pStyle w:val="620"/>
              <w:ind w:firstLine="0"/>
              <w:widowControl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17" w:name="sub_2007"/>
            <w:r>
              <w:rPr>
                <w:rFonts w:ascii="Times New Roman" w:hAnsi="Times New Roman" w:cs="Times New Roman"/>
              </w:rPr>
              <w:t xml:space="preserve">7</w:t>
            </w:r>
            <w:bookmarkEnd w:id="17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необходимости установления публичного сервитута: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20"/>
              <w:ind w:firstLine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использования земельных участков в целях эксплуатации существующего сооружения федерального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«Газопровод-отвод к ГРС 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ГРС 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 его неотъемлемых технологических частей, Кадастровый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23:35:1101000:168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23-23-33/044/2005-313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свидетельство о государственной регистрации права собственности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23-А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446356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запись о государственной регистрации права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29.12.2005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23-23-33/044/2005-313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20"/>
              <w:ind w:firstLine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Правительства РФ от 06.05.2015 № 816-р «Об утверждении схемы территориального планирования Российской Федерации в области федерального транспорта (в части трубопроводного транспорта)».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20"/>
              <w:ind w:firstLine="3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Согласно статье 5 Федерального закона от 31.03.1999 № 69-ФЗ «О га</w:t>
            </w:r>
            <w:r>
              <w:rPr>
                <w:rFonts w:ascii="Times New Roman" w:hAnsi="Times New Roman"/>
                <w:sz w:val="24"/>
              </w:rPr>
              <w:t xml:space="preserve">зоснабжении в Российской Федерации» (далее – Федеральный закон о газоснабжении) Единая система газоснабжения (далее – ЕСГ) входит в состав федеральной системы газоснабжения, которая является одной из федеральных энергетических систем Российской Федерации. </w:t>
            </w:r>
            <w:r>
              <w:rPr>
                <w:rFonts w:ascii="Times New Roman" w:hAnsi="Times New Roman"/>
                <w:sz w:val="24"/>
              </w:rPr>
              <w:t xml:space="preserve">В соответствии со статьей 6 Федерального закона о газоснабжении «ЕСГ представляет собой имущественный, производственный комплекс, который состоит из технологически, организационно и экономически взаимосвязанных и централизованно управляемых производственны</w:t>
            </w:r>
            <w:r>
              <w:rPr>
                <w:rFonts w:ascii="Times New Roman" w:hAnsi="Times New Roman"/>
                <w:sz w:val="24"/>
              </w:rPr>
              <w:t xml:space="preserve">х и иных объектов, предназначенных для добычи, транспортировки, хранения и поставок газа…». ЕСГ обеспечивает непрерывный цикл поставки газа от скважины до конечного потребителя. При этом входящие в систему элементы самостоятельно функционировать не могут.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620"/>
              <w:ind w:firstLine="3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соответс</w:t>
            </w:r>
            <w:r>
              <w:rPr>
                <w:rFonts w:ascii="Times New Roman" w:hAnsi="Times New Roman"/>
                <w:sz w:val="24"/>
              </w:rPr>
              <w:t xml:space="preserve">твии со статьей 6 Федерального закона от 31.03.1999 № 69-ФЗ «О газоснабжении в Российской Федерации» (далее – Закон № 69-ФЗ) Единая система газоснабжения (ЕСГ) представляет собой имущественный производственный комплекс, который состоит из технологически, о</w:t>
            </w:r>
            <w:r>
              <w:rPr>
                <w:rFonts w:ascii="Times New Roman" w:hAnsi="Times New Roman"/>
                <w:sz w:val="24"/>
              </w:rPr>
              <w:t xml:space="preserve">рганизационно и экономически взаимосвязанных и централизованно управляемых производственных и иных объектов, предназначенных для добычи, транспортировки, хранения и поставок газа, и находится в собственности организации, образованной в установленных гражда</w:t>
            </w:r>
            <w:r>
              <w:rPr>
                <w:rFonts w:ascii="Times New Roman" w:hAnsi="Times New Roman"/>
                <w:sz w:val="24"/>
              </w:rPr>
              <w:t xml:space="preserve">нским законодательством организационно-правовой форме и порядке, получившей объекты указанного комплекса в собственность в процессе приватизации либо создавшей или приобретшей их на других основаниях, предусмотренных законодательством Российской Федерации.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620"/>
              <w:ind w:firstLine="3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ЕСГ является основной системой газоснабжения в Российской Федерации и ее деятельность регулируется государством в порядке, установленном законодательством Российской Федерации.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620"/>
              <w:ind w:firstLine="3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Согласно положениям статьи 5 Закона № 69 – ФЗ, Федеральная система газоснабжения – совокупность действующих на территории Российской Феде</w:t>
            </w:r>
            <w:r>
              <w:rPr>
                <w:rFonts w:ascii="Times New Roman" w:hAnsi="Times New Roman"/>
                <w:sz w:val="24"/>
              </w:rPr>
              <w:t xml:space="preserve">рации систем газоснабжения: Единой системы газоснабжения, региональных систем газоснабжения, газораспределительных систем и независимых организаций. Федеральная система газоснабжения является одной из федеральных энергетических систем Российской Федерации.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620"/>
              <w:ind w:firstLine="3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Положениями статьи 6 Перечня видов объектов федерал</w:t>
            </w:r>
            <w:r>
              <w:rPr>
                <w:rFonts w:ascii="Times New Roman" w:hAnsi="Times New Roman"/>
                <w:sz w:val="24"/>
              </w:rPr>
              <w:t xml:space="preserve">ьного значения, подлежащих отображению на схемах территориального планирования Российской Федерации, в области федерального транспорта, утвержденного распоряжением Правительства Российской Федерации от 08.02.2012 № 162 к объектам федерального значения отне</w:t>
            </w:r>
            <w:r>
              <w:rPr>
                <w:rFonts w:ascii="Times New Roman" w:hAnsi="Times New Roman"/>
                <w:sz w:val="24"/>
              </w:rPr>
              <w:t xml:space="preserve">сены: магистральные трубопроводы для транспортировки жидких и газообразных углеводородов; сети газораспределения, предназначенные для транспортировки природного газа под давлением свыше 1,2 Мпа и сжиженного углеводородного газа под давлением: выше 1,6 Мпа.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620"/>
              <w:ind w:firstLine="3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Согласно положениям пунктов 7 и 9 статьи 10 Градостроительного кодекса Российской Федерации к схемам</w:t>
            </w:r>
            <w:r>
              <w:rPr>
                <w:rFonts w:ascii="Times New Roman" w:hAnsi="Times New Roman"/>
                <w:sz w:val="24"/>
              </w:rPr>
              <w:t xml:space="preserve"> территориального планирования Российской Федерации прилагаются материалы по их обоснованию в текстовой форме и в виде карт. Указанные карты составляются применительно к территории, в отношении которой разрабатывается схема территориального планирования Ро</w:t>
            </w:r>
            <w:r>
              <w:rPr>
                <w:rFonts w:ascii="Times New Roman" w:hAnsi="Times New Roman"/>
                <w:sz w:val="24"/>
              </w:rPr>
              <w:t xml:space="preserve">ссийской Федерации. В свою очередь, материалы по обоснованию схем территориального планирования Российской Федерации в виде карт отображают, в числе прочего, местоположение существующих и строящихся объектов федерального значения в соответствующей области.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620"/>
              <w:ind w:firstLine="32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Сог</w:t>
            </w:r>
            <w:r>
              <w:rPr>
                <w:rFonts w:ascii="Times New Roman" w:hAnsi="Times New Roman"/>
                <w:sz w:val="24"/>
              </w:rPr>
              <w:t xml:space="preserve">ласно статье 14 Федерального закона о газоснабжении для обеспечения надежного газоснабжения, безопасного и устойчивого функционирования объектов ЕСГ, связанных общим технологическим режимом добычи, транспортировки и поставок газа, разделение Единой системы</w:t>
            </w:r>
            <w:r>
              <w:rPr>
                <w:rFonts w:ascii="Times New Roman" w:hAnsi="Times New Roman"/>
                <w:sz w:val="24"/>
              </w:rPr>
              <w:t xml:space="preserve"> газоснабжения не допускается. В состав ЕСГ входят магистральные газопроводы, компрессорные станции, объекты подземного хранения газа, газораспределительные станции и иные объекты. Данные объекты обеспечивают бесперебойное газоснабжение всей территории РФ.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620"/>
              <w:ind w:firstLine="328"/>
            </w:pPr>
            <w:r>
              <w:rPr>
                <w:rFonts w:ascii="Times New Roman" w:hAnsi="Times New Roman"/>
                <w:sz w:val="24"/>
              </w:rPr>
              <w:t xml:space="preserve">На основании изложенного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«Газопровод-отвод к ГРС 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ГРС 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включая все здания и сооружения, обеспечивающие его эксплуатацию</w:t>
            </w:r>
            <w:r>
              <w:rPr>
                <w:rFonts w:ascii="Times New Roman" w:hAnsi="Times New Roman"/>
                <w:sz w:val="24"/>
              </w:rPr>
              <w:t xml:space="preserve">, является объектом федерального значения и на</w:t>
            </w:r>
            <w:r>
              <w:rPr>
                <w:rFonts w:ascii="Times New Roman" w:hAnsi="Times New Roman"/>
                <w:sz w:val="24"/>
              </w:rPr>
              <w:t xml:space="preserve">несен на карту существующих объектов федерального значения в области федерального транспорта (в части трубопроводного транспорта) проекта материалов по обоснованию Схемы территориального планирования Российской Федерации.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18" w:name="sub_2008"/>
            <w:r>
              <w:rPr>
                <w:rFonts w:ascii="Times New Roman" w:hAnsi="Times New Roman" w:cs="Times New Roman"/>
              </w:rPr>
              <w:t xml:space="preserve">8</w:t>
            </w:r>
            <w:bookmarkEnd w:id="1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36"/>
              <w:jc w:val="both"/>
            </w:pPr>
            <w: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нужд, а также о правообладателе инженерного сооружения, являющегося линейным объектом, реконс</w:t>
            </w:r>
            <w:r>
              <w:t xml:space="preserve">трукция, капитальный ремонт которого (реконструкция, капитальный ремонт участков (частей) которого) осуществляются в связи с планируемым строительством, реконструкцией, капитальным ремонтом объектов капитального строительства, в случае, если заявитель не я</w:t>
            </w:r>
            <w:r>
              <w:t xml:space="preserve">вляется правообладателем указанного инженерного сооружения (в данном случае указываются сведения в объеме, предусмотренном строкой 2 настоящей формы) (заполняется в случае, если ходатайство об установлении публичного сервитута подается с целью установления</w:t>
            </w:r>
            <w: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/>
          </w:p>
          <w:p>
            <w:pPr>
              <w:pStyle w:val="636"/>
              <w:jc w:val="both"/>
            </w:pPr>
            <w:r>
              <w:t xml:space="preserve">____________</w:t>
            </w:r>
            <w:r>
              <w:rPr>
                <w:u w:val="single"/>
              </w:rPr>
              <w:t xml:space="preserve">отсутствует</w:t>
            </w:r>
            <w:r>
              <w:t xml:space="preserve">__________</w:t>
            </w:r>
            <w:r/>
          </w:p>
          <w:p>
            <w:pPr>
              <w:pStyle w:val="636"/>
              <w:jc w:val="both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9"/>
        </w:trPr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</w:rPr>
            </w:pPr>
            <w:r/>
            <w:bookmarkStart w:id="19" w:name="sub_2009"/>
            <w:r>
              <w:rPr>
                <w:rFonts w:ascii="Times New Roman" w:hAnsi="Times New Roman" w:cs="Times New Roman"/>
              </w:rPr>
              <w:t xml:space="preserve">9</w:t>
            </w:r>
            <w:bookmarkEnd w:id="19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right w:val="none" w:color="000000" w:sz="4" w:space="0"/>
            </w:tcBorders>
            <w:tcW w:w="3570" w:type="dxa"/>
            <w:vAlign w:val="top"/>
            <w:textDirection w:val="lrTb"/>
            <w:noWrap w:val="false"/>
          </w:tcPr>
          <w:p>
            <w:pPr>
              <w:pStyle w:val="6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tcBorders>
              <w:left w:val="none" w:color="000000" w:sz="4" w:space="0"/>
            </w:tcBorders>
            <w:tcW w:w="5670" w:type="dxa"/>
            <w:vAlign w:val="top"/>
            <w:textDirection w:val="lrTb"/>
            <w:noWrap w:val="false"/>
          </w:tcPr>
          <w:tbl>
            <w:tblPr>
              <w:tblW w:w="5558" w:type="dxa"/>
              <w:tblInd w:w="0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4A0" w:firstRow="1" w:lastRow="0" w:firstColumn="1" w:lastColumn="0" w:noHBand="0" w:noVBand="1"/>
            </w:tblPr>
            <w:tblGrid>
              <w:gridCol w:w="2014"/>
              <w:gridCol w:w="3544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612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23:35:0000000:38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Краснодарский край, Усть-Лаби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нский район, ст-ца Ладожская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ст-ца Але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ксее-Тенгинская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633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23:35:0000000:153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Краснодарский край, Усть-Лабинский район, колхоз "Восток"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25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23:35:000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0000:24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край Краснодарский,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Усть-Лабинский район, к востоку от ст. Ладожской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25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23:35:0000000:1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940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Краснодарский к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рай, р-н. Усть-Лабинский, с/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п. Братское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473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23:35:1201000:1004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Российская Федерация, Краснодарский край, р-н Усть-Лабинский, с/п Братское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23:35:1101000:98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Краснодарский край, р-н Усть-Лабинский, с/о Александровский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23:35:1101000:103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Краснодарский край, р-н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Усть-Лабинский, с/о Александ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ровский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35:1101000:106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Краснодарский край, р-н Усть-Лабинский,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с/о Александровский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101000:117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Краснодарский край, р-н Усть-Лабинский, с/о Александровский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23:35:1101000:172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Краснодарский край, р-н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Усть-Лабинский, в границах колхоза имени Мичури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02004:2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край Краснодарский, р-н Усть-Лабинский, с/о Але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ксандровский, участок 1107/1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23:35:1102004:3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край Краснодарский, р-н Усть-Лабинский, с/о Александровский, участок 1109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23:35:1102004:5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Краснодарский край, р-н Усть-Лабинский, с/о Александ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ровский, к/х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Глущенко В.Г.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23:35:1102004:6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Краснодарский край, р-н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Усть-Лабинский, с/о Алексан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дровский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23:35:1102004:8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край Краснодарский, р-н Усть-Лабинский, с/о Александровский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102004:12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край Краснодарский, р-н Усть-Лабинский, с/о Александровск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02004:15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край Краснодарский, р-н Усть-Лабинский, с/о Ал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ександровский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23:35:1102004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:26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Краснодарский край, р-н Усть-Лабинский, с/о Александровский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23:35:1102004:27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Краснодарский край, р-н Усть-Лабинский, с/о Александровский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23:35:1201000:33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рай Краснода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рский, р-н Усть-Лабинский, с/о Братский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23:35:1201000: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224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Краснодарский край, р-н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Усть-Лабинский, расположен в северо-восточной части кадастрового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квартала 23:35:1201000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23:35:1201000:225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Краснодарский край, р-н Усть-Лабинский, расположен в с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еверо-восточ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ной части кадастрового квартала 23:35:1201000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Borders>
                    <w:bottom w:val="single" w:color="000000" w:sz="4" w:space="0"/>
                  </w:tcBorders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01000:411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Краснодарский край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р-н Усть-Лабинский, в границах колхоза имени Мичурина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23:35:1235003:9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край Краснодарский, р-н Усть-Лабинский, х. Калининский, ул. Школьная, 84 А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23:35:123500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3:10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край Кр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аснодарский, р-н Усть-Лабинский, х. Калининский, ул. Шк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ольная, 84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23:35:1101000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аснодарский край, р-н Усть-Лабинский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23:35:1102004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Краснодарский край, р-н Усть-Лабинский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</w:tblPrEx>
              <w:trPr>
                <w:trHeight w:val="551"/>
              </w:trPr>
              <w:tc>
                <w:tcPr>
                  <w:tcW w:w="201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23:35:1201000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Краснодарский край, р-н Усть-Лабинский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551"/>
              </w:trPr>
              <w:tc>
                <w:tcPr>
                  <w:tcW w:w="2014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23:35:1235001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раснодарский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край, р-н Усть-Лабинский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551"/>
              </w:trPr>
              <w:tc>
                <w:tcPr>
                  <w:tcW w:w="2014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23:35:1235003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  <w:tc>
                <w:tcPr>
                  <w:tcW w:w="3544" w:type="dxa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pStyle w:val="620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Краснодарский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край, р-н Усть-Лабинский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620"/>
              <w:ind w:left="-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36"/>
              <w:jc w:val="both"/>
            </w:pPr>
            <w:r>
              <w:t xml:space="preserve">Право, на котором инженерное сооружение принадлежит заявителю (если п</w:t>
            </w:r>
            <w: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t xml:space="preserve"> </w:t>
            </w:r>
            <w:r>
              <w:t xml:space="preserve">(предоставление правоустанавливающих документов на линейный объект не требуется в случае, если ходатайство об установлении публичного сервитута подано в соответствии со статьей 3.9 Федерального закона от 25 октября 2001 г. </w:t>
            </w:r>
            <w:r>
              <w:t xml:space="preserve">№</w:t>
            </w:r>
            <w:r>
              <w:t xml:space="preserve"> 137-ФЗ </w:t>
            </w:r>
            <w:r>
              <w:t xml:space="preserve">«</w:t>
            </w:r>
            <w:r>
              <w:t xml:space="preserve">О введении в действие Земельного кодекса Российской Федерации</w:t>
            </w:r>
            <w:r>
              <w:t xml:space="preserve">»</w:t>
            </w:r>
            <w:r>
              <w:t xml:space="preserve">)</w:t>
            </w:r>
            <w:r>
              <w:t xml:space="preserve">: с</w:t>
            </w:r>
            <w:r>
              <w:t xml:space="preserve">обственность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vMerge w:val="restart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vMerge w:val="continue"/>
            <w:textDirection w:val="lrTb"/>
            <w:noWrap w:val="false"/>
          </w:tcPr>
          <w:p>
            <w:pPr>
              <w:pStyle w:val="6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413" w:type="dxa"/>
            <w:vAlign w:val="top"/>
            <w:textDirection w:val="lrTb"/>
            <w:noWrap w:val="false"/>
          </w:tcPr>
          <w:p>
            <w:pPr>
              <w:pStyle w:val="6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827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(да/нет)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vMerge w:val="continue"/>
            <w:textDirection w:val="lrTb"/>
            <w:noWrap w:val="false"/>
          </w:tcPr>
          <w:p>
            <w:pPr>
              <w:pStyle w:val="6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413" w:type="dxa"/>
            <w:vAlign w:val="top"/>
            <w:textDirection w:val="lrTb"/>
            <w:noWrap w:val="false"/>
          </w:tcPr>
          <w:p>
            <w:pPr>
              <w:pStyle w:val="6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827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(да/нет)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Доверенность ПАО «Газпром» от 01.04.2024 № 01/04/04-208д (зарегистрировано в реестре № 78/98-н/78-2024-3-2246, 02.04.2024) (1 экз., копия, 4 листа).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границ публичного сервитута в формате PDF (1 экз.,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границ публичного сервитута в формате PDF в полноцветном режиме с разрешением не менее 300 dpi в масштабе, обеспечивающем читаемость местоположения характерных точек (1 экз.,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границ публичного сервитута, содержащего координаты характерных точек границ публичного сервитута, в виде файла в формате XML, созданного с использованием XML-схем, обеспечивающих считывание и контроль представленных данных  (1 экз., электронный документ).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государственной регистрации права собственности </w:t>
            </w:r>
            <w:r>
              <w:rPr>
                <w:rFonts w:ascii="Times New Roman" w:hAnsi="Times New Roman"/>
                <w:sz w:val="24"/>
              </w:rPr>
              <w:t xml:space="preserve">от 19.01.2006</w:t>
            </w:r>
            <w:r>
              <w:rPr>
                <w:rFonts w:ascii="Times New Roman" w:hAnsi="Times New Roman"/>
                <w:sz w:val="24"/>
              </w:rPr>
              <w:t xml:space="preserve"> серия 23-АА № 446356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экз. копия, 1 лист).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земельных участков, в отношении которых устанавливается публичный сервитут (1 экз.,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36"/>
              <w:jc w:val="both"/>
            </w:pPr>
            <w: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</w:t>
            </w:r>
            <w:r>
              <w:t xml:space="preserve">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W w:w="9240" w:type="dxa"/>
            <w:vAlign w:val="top"/>
            <w:textDirection w:val="lrTb"/>
            <w:noWrap w:val="false"/>
          </w:tcPr>
          <w:p>
            <w:pPr>
              <w:pStyle w:val="636"/>
              <w:jc w:val="both"/>
            </w:pPr>
            <w: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</w:t>
            </w:r>
            <w:r>
              <w:t xml:space="preserve">установленным </w:t>
            </w:r>
            <w:r>
              <w:fldChar w:fldCharType="begin"/>
            </w:r>
            <w:r>
              <w:instrText xml:space="preserve"> HYPERLINK "http://internet.garant.ru/document/redirect/12124624/39410" </w:instrText>
            </w:r>
            <w:r>
              <w:fldChar w:fldCharType="separate"/>
            </w:r>
            <w:r>
              <w:t xml:space="preserve">статьей 39.41</w:t>
            </w:r>
            <w:r>
              <w:fldChar w:fldCharType="end"/>
            </w:r>
            <w:r>
              <w:t xml:space="preserve"> Земельного кодекса Российской Федерации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tcW w:w="5838" w:type="dxa"/>
            <w:vAlign w:val="top"/>
            <w:textDirection w:val="lrTb"/>
            <w:noWrap w:val="false"/>
          </w:tcPr>
          <w:p>
            <w:pPr>
              <w:pStyle w:val="6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Подпись: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6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1" w:type="dxa"/>
            <w:vAlign w:val="top"/>
            <w:textDirection w:val="lrTb"/>
            <w:noWrap w:val="false"/>
          </w:tcPr>
          <w:p>
            <w:pPr>
              <w:pStyle w:val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4"/>
            <w:tcW w:w="5838" w:type="dxa"/>
            <w:vAlign w:val="top"/>
            <w:textDirection w:val="lrTb"/>
            <w:noWrap w:val="false"/>
          </w:tcPr>
          <w:p>
            <w:pPr>
              <w:pStyle w:val="6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6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620"/>
              <w:ind w:firstLine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        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А.С.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Харламов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</w:t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pStyle w:val="6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(подпись)                   (инициалы, фамилия)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3402" w:type="dxa"/>
            <w:vAlign w:val="top"/>
            <w:textDirection w:val="lrTb"/>
            <w:noWrap w:val="false"/>
          </w:tcPr>
          <w:p>
            <w:pPr>
              <w:pStyle w:val="6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6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62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«__»__________2025</w:t>
            </w:r>
            <w:r>
              <w:rPr>
                <w:rFonts w:ascii="Times New Roman" w:hAnsi="Times New Roman"/>
                <w:sz w:val="24"/>
              </w:rPr>
              <w:t xml:space="preserve"> г.</w:t>
            </w:r>
            <w:r>
              <w:rPr>
                <w:rFonts w:ascii="Times New Roman" w:hAnsi="Times New Roman"/>
                <w:sz w:val="24"/>
              </w:rPr>
            </w:r>
          </w:p>
        </w:tc>
      </w:tr>
    </w:tbl>
    <w:sectPr>
      <w:footnotePr/>
      <w:endnotePr/>
      <w:type w:val="nextPage"/>
      <w:pgSz w:w="11900" w:h="16800" w:orient="portrait"/>
      <w:pgMar w:top="851" w:right="800" w:bottom="1134" w:left="80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Segoe UI">
    <w:panose1 w:val="020B0502040504020204"/>
  </w:font>
  <w:font w:name="Calibri Light">
    <w:panose1 w:val="020F0502020204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2274" w:hanging="432"/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0"/>
      <w:numFmt w:val="decimal"/>
      <w:isLgl w:val="false"/>
      <w:suff w:val="tab"/>
      <w:lvlText w:val=""/>
      <w:lvlJc w:val="left"/>
      <w:pPr/>
      <w:rPr>
        <w:rFonts w:cs="Times New Roman"/>
      </w:rPr>
    </w:lvl>
    <w:lvl w:ilvl="2">
      <w:start w:val="0"/>
      <w:numFmt w:val="decimal"/>
      <w:isLgl w:val="false"/>
      <w:suff w:val="tab"/>
      <w:lvlText w:val=""/>
      <w:lvlJc w:val="left"/>
      <w:pPr/>
      <w:rPr>
        <w:rFonts w:cs="Times New Roman"/>
      </w:rPr>
    </w:lvl>
    <w:lvl w:ilvl="3">
      <w:start w:val="0"/>
      <w:numFmt w:val="decimal"/>
      <w:isLgl w:val="false"/>
      <w:suff w:val="tab"/>
      <w:lvlText w:val=""/>
      <w:lvlJc w:val="left"/>
      <w:pPr/>
      <w:rPr>
        <w:rFonts w:cs="Times New Roman"/>
      </w:rPr>
    </w:lvl>
    <w:lvl w:ilvl="4">
      <w:start w:val="0"/>
      <w:numFmt w:val="decimal"/>
      <w:isLgl w:val="false"/>
      <w:suff w:val="tab"/>
      <w:lvlText w:val=""/>
      <w:lvlJc w:val="left"/>
      <w:pPr/>
      <w:rPr>
        <w:rFonts w:cs="Times New Roman"/>
      </w:rPr>
    </w:lvl>
    <w:lvl w:ilvl="5">
      <w:start w:val="0"/>
      <w:numFmt w:val="decimal"/>
      <w:isLgl w:val="false"/>
      <w:suff w:val="tab"/>
      <w:lvlText w:val=""/>
      <w:lvlJc w:val="left"/>
      <w:pPr/>
      <w:rPr>
        <w:rFonts w:cs="Times New Roman"/>
      </w:rPr>
    </w:lvl>
    <w:lvl w:ilvl="6">
      <w:start w:val="0"/>
      <w:numFmt w:val="decimal"/>
      <w:isLgl w:val="false"/>
      <w:suff w:val="tab"/>
      <w:lvlText w:val=""/>
      <w:lvlJc w:val="left"/>
      <w:pPr/>
      <w:rPr>
        <w:rFonts w:cs="Times New Roman"/>
      </w:rPr>
    </w:lvl>
    <w:lvl w:ilvl="7">
      <w:start w:val="0"/>
      <w:numFmt w:val="decimal"/>
      <w:isLgl w:val="false"/>
      <w:suff w:val="tab"/>
      <w:lvlText w:val=""/>
      <w:lvlJc w:val="left"/>
      <w:pPr/>
      <w:rPr>
        <w:rFonts w:cs="Times New Roman"/>
      </w:rPr>
    </w:lvl>
    <w:lvl w:ilvl="8">
      <w:start w:val="0"/>
      <w:numFmt w:val="decimal"/>
      <w:isLgl w:val="false"/>
      <w:suff w:val="tab"/>
      <w:lvlText w:val=""/>
      <w:lvlJc w:val="left"/>
      <w:pPr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0"/>
    <w:next w:val="62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0"/>
    <w:next w:val="62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0"/>
    <w:next w:val="62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0"/>
    <w:next w:val="62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0"/>
    <w:next w:val="62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0"/>
    <w:next w:val="62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0"/>
    <w:next w:val="62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0"/>
    <w:next w:val="62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0"/>
    <w:next w:val="62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2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0"/>
    <w:next w:val="62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20"/>
    <w:next w:val="62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20"/>
    <w:next w:val="62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0"/>
    <w:next w:val="62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20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20"/>
    <w:next w:val="620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2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20"/>
    <w:next w:val="62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0"/>
    <w:next w:val="62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0"/>
    <w:next w:val="62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0"/>
    <w:next w:val="62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0"/>
    <w:next w:val="62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0"/>
    <w:next w:val="62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0"/>
    <w:next w:val="62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0"/>
    <w:next w:val="62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0"/>
    <w:next w:val="62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0"/>
    <w:next w:val="620"/>
    <w:uiPriority w:val="99"/>
    <w:unhideWhenUsed/>
    <w:pPr>
      <w:spacing w:after="0" w:afterAutospacing="0"/>
    </w:pPr>
  </w:style>
  <w:style w:type="paragraph" w:styleId="620" w:default="1">
    <w:name w:val="Normal"/>
    <w:next w:val="620"/>
    <w:link w:val="620"/>
    <w:qFormat/>
    <w:pPr>
      <w:ind w:firstLine="720"/>
      <w:jc w:val="both"/>
      <w:widowControl w:val="off"/>
    </w:pPr>
    <w:rPr>
      <w:rFonts w:ascii="Arial" w:hAnsi="Arial" w:cs="Arial"/>
      <w:sz w:val="26"/>
      <w:szCs w:val="26"/>
      <w:lang w:val="ru-RU" w:eastAsia="ru-RU" w:bidi="ar-SA"/>
    </w:rPr>
  </w:style>
  <w:style w:type="paragraph" w:styleId="621">
    <w:name w:val="Заголовок 1"/>
    <w:basedOn w:val="620"/>
    <w:next w:val="620"/>
    <w:link w:val="625"/>
    <w:uiPriority w:val="99"/>
    <w:qFormat/>
    <w:pPr>
      <w:ind w:firstLine="0"/>
      <w:jc w:val="center"/>
      <w:spacing w:before="108" w:after="108"/>
      <w:outlineLvl w:val="0"/>
    </w:pPr>
    <w:rPr>
      <w:b/>
      <w:bCs/>
      <w:color w:val="26282f"/>
    </w:rPr>
  </w:style>
  <w:style w:type="character" w:styleId="622">
    <w:name w:val="Основной шрифт абзаца"/>
    <w:next w:val="622"/>
    <w:link w:val="620"/>
    <w:uiPriority w:val="1"/>
    <w:semiHidden/>
    <w:unhideWhenUsed/>
  </w:style>
  <w:style w:type="table" w:styleId="623">
    <w:name w:val="Обычная таблица"/>
    <w:next w:val="623"/>
    <w:link w:val="620"/>
    <w:uiPriority w:val="99"/>
    <w:semiHidden/>
    <w:unhideWhenUsed/>
    <w:tblPr/>
  </w:style>
  <w:style w:type="numbering" w:styleId="624">
    <w:name w:val="Нет списка"/>
    <w:next w:val="624"/>
    <w:link w:val="620"/>
    <w:uiPriority w:val="99"/>
    <w:semiHidden/>
    <w:unhideWhenUsed/>
  </w:style>
  <w:style w:type="character" w:styleId="625">
    <w:name w:val="Заголовок 1 Знак"/>
    <w:next w:val="625"/>
    <w:link w:val="621"/>
    <w:uiPriority w:val="9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626">
    <w:name w:val="Цветовое выделение"/>
    <w:next w:val="626"/>
    <w:link w:val="620"/>
    <w:uiPriority w:val="99"/>
    <w:rPr>
      <w:b/>
      <w:color w:val="26282f"/>
    </w:rPr>
  </w:style>
  <w:style w:type="character" w:styleId="627">
    <w:name w:val="Гипертекстовая ссылка"/>
    <w:next w:val="627"/>
    <w:link w:val="620"/>
    <w:uiPriority w:val="99"/>
    <w:rPr>
      <w:rFonts w:cs="Times New Roman"/>
      <w:color w:val="106bbe"/>
    </w:rPr>
  </w:style>
  <w:style w:type="paragraph" w:styleId="628">
    <w:name w:val="Нормальный (таблица)"/>
    <w:basedOn w:val="620"/>
    <w:next w:val="620"/>
    <w:link w:val="620"/>
    <w:uiPriority w:val="99"/>
    <w:pPr>
      <w:ind w:firstLine="0"/>
    </w:pPr>
  </w:style>
  <w:style w:type="paragraph" w:styleId="629">
    <w:name w:val="Прижатый влево"/>
    <w:basedOn w:val="620"/>
    <w:next w:val="620"/>
    <w:link w:val="620"/>
    <w:uiPriority w:val="99"/>
    <w:pPr>
      <w:ind w:firstLine="0"/>
      <w:jc w:val="left"/>
    </w:pPr>
  </w:style>
  <w:style w:type="character" w:styleId="630">
    <w:name w:val="Цветовое выделение для Текст"/>
    <w:next w:val="630"/>
    <w:link w:val="620"/>
    <w:uiPriority w:val="99"/>
    <w:rPr>
      <w:sz w:val="26"/>
    </w:rPr>
  </w:style>
  <w:style w:type="character" w:styleId="631">
    <w:name w:val="Гиперссылка"/>
    <w:next w:val="631"/>
    <w:link w:val="620"/>
    <w:uiPriority w:val="99"/>
    <w:semiHidden/>
    <w:unhideWhenUsed/>
    <w:rPr>
      <w:rFonts w:cs="Times New Roman"/>
      <w:color w:val="1b86c0"/>
      <w:sz w:val="24"/>
      <w:u w:val="none"/>
    </w:rPr>
  </w:style>
  <w:style w:type="paragraph" w:styleId="632">
    <w:name w:val="Текст выноски"/>
    <w:basedOn w:val="620"/>
    <w:next w:val="632"/>
    <w:link w:val="63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33">
    <w:name w:val="Текст выноски Знак"/>
    <w:next w:val="633"/>
    <w:link w:val="632"/>
    <w:uiPriority w:val="99"/>
    <w:semiHidden/>
    <w:rPr>
      <w:rFonts w:ascii="Segoe UI" w:hAnsi="Segoe UI" w:cs="Segoe UI"/>
      <w:sz w:val="18"/>
      <w:szCs w:val="18"/>
    </w:rPr>
  </w:style>
  <w:style w:type="paragraph" w:styleId="634">
    <w:name w:val="ConsPlusTitle"/>
    <w:next w:val="634"/>
    <w:link w:val="620"/>
    <w:uiPriority w:val="99"/>
    <w:pPr>
      <w:widowControl w:val="off"/>
    </w:pPr>
    <w:rPr>
      <w:rFonts w:cs="Calibri"/>
      <w:b/>
      <w:bCs/>
      <w:sz w:val="22"/>
      <w:szCs w:val="22"/>
      <w:lang w:val="ru-RU" w:eastAsia="ru-RU" w:bidi="ar-SA"/>
    </w:rPr>
  </w:style>
  <w:style w:type="paragraph" w:styleId="635">
    <w:name w:val="Абзац списка"/>
    <w:basedOn w:val="620"/>
    <w:next w:val="635"/>
    <w:link w:val="620"/>
    <w:uiPriority w:val="34"/>
    <w:qFormat/>
    <w:pPr>
      <w:contextualSpacing/>
      <w:ind w:left="720" w:firstLine="0"/>
      <w:jc w:val="left"/>
      <w:spacing w:after="200" w:line="276" w:lineRule="auto"/>
      <w:widowControl/>
    </w:pPr>
    <w:rPr>
      <w:rFonts w:ascii="Calibri" w:hAnsi="Calibri" w:cs="Times New Roman"/>
      <w:sz w:val="22"/>
      <w:szCs w:val="22"/>
    </w:rPr>
  </w:style>
  <w:style w:type="paragraph" w:styleId="636">
    <w:name w:val="ConsPlusNormal"/>
    <w:next w:val="636"/>
    <w:link w:val="620"/>
    <w:pPr>
      <w:widowControl w:val="off"/>
    </w:pPr>
    <w:rPr>
      <w:rFonts w:ascii="Times New Roman" w:hAnsi="Times New Roman"/>
      <w:sz w:val="24"/>
      <w:szCs w:val="24"/>
      <w:lang w:val="ru-RU" w:eastAsia="ru-RU" w:bidi="ar-SA"/>
    </w:rPr>
  </w:style>
  <w:style w:type="character" w:styleId="2522" w:default="1">
    <w:name w:val="Default Paragraph Font"/>
    <w:uiPriority w:val="1"/>
    <w:semiHidden/>
    <w:unhideWhenUsed/>
  </w:style>
  <w:style w:type="numbering" w:styleId="2523" w:default="1">
    <w:name w:val="No List"/>
    <w:uiPriority w:val="99"/>
    <w:semiHidden/>
    <w:unhideWhenUsed/>
  </w:style>
  <w:style w:type="table" w:styleId="252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НПП "Гарант-Сервис"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n.pochikaylova@tgk.gazprom.ru</cp:lastModifiedBy>
  <cp:revision>27</cp:revision>
  <dcterms:created xsi:type="dcterms:W3CDTF">2020-05-25T06:19:00Z</dcterms:created>
  <dcterms:modified xsi:type="dcterms:W3CDTF">2025-03-05T14:07:01Z</dcterms:modified>
  <cp:version>983040</cp:version>
</cp:coreProperties>
</file>